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485</w:t>
      </w:r>
    </w:p>
    <w:p>
      <w:r>
        <w:t>Bundesgericht (BGE), 2014-08-21, DE</w:t>
      </w:r>
    </w:p>
    <w:p>
      <w:r>
        <w:rPr>
          <w:b/>
        </w:rPr>
        <w:t xml:space="preserve">Quelle: </w:t>
      </w:r>
      <w:r>
        <w:t>https://mcp.opencaselaw.ch/entscheid/bge_140 III 485</w:t>
      </w:r>
    </w:p>
    <w:p>
      <w:r>
        <w:t>FR: ATF 140 III 485</w:t>
      </w:r>
    </w:p>
    <w:p>
      <w:r>
        <w:t>IT: DTF 140 III 485</w:t>
      </w:r>
    </w:p>
    <w:p>
      <w:pPr>
        <w:pStyle w:val="Heading2"/>
      </w:pPr>
      <w:r>
        <w:t>Regeste</w:t>
      </w:r>
    </w:p>
    <w:p>
      <w:r>
        <w:t>Regeste Vorsorgliche Massnahmen im Scheidungsverfahren; Ehegattenunterhalt; Sparquote (Art. 276 ZPO; Art. 163 und 176 ZGB; Art. 9 BV). Anforderungen an den Nachweis der Sparquote. Deren Berücksichtigung setzt insbesondere eine konkrete Berechnung des Bedarfs der Ehegatten während des Zusammenlebens bzw. der beiden Haushalte nach Aufhebung des gemeinsamen ehelichen Haushalts voraus. Wird der Bedarf nicht konkret berechnet, sondern auf die zweistufige Methode der Existenzminimumsberechnung mit Überschussverteilung zurückgegriffen, ist die Berücksichtigung einer behaupteten, aber weder im Grundsatz noch betragsmässig glaubhaft gemachten Sparquote willkürlich (E. 3). Willkür im Ergebnis im konkreten Fall bejaht (E. 4.5).</w:t>
      </w:r>
    </w:p>
    <w:p>
      <w:pPr>
        <w:pStyle w:val="Heading2"/>
      </w:pPr>
      <w:r>
        <w:t>Erwägungen</w:t>
      </w:r>
    </w:p>
    <w:p>
      <w:r>
        <w:rPr>
          <w:b/>
        </w:rPr>
        <w:t>E. 3.1</w:t>
      </w:r>
    </w:p>
    <w:p>
      <w:r>
        <w:t>Die Beschwerdeführerin beanstandet einzig die Berücksichtigung einer Sparquote als willkürlich ( Art. 9 BV ) bzw. gegen den BGE 140 III 485 S. 487 Gleichheitsgrundsatz verstossend ( Art. 8 Abs. 1 BV ). Sie macht im Wesentlichen geltend, beide kantonalen Instanzen hätten sich bei der Unterhaltsbemessung richtigerweise für die Methode des betreibungsrechtlichen Existenzminimums mit Überschussverteilung entschieden. Der Beschwerdegegner habe im Verfahren nie eine Sparquote behauptet, geschweige denn eine solche nachgewiesen. Sie habe das Obergericht in der Berufung darauf angesprochen; die Vorinstanz habe die Beanstandung mit der Bemerkung abgetan, die Sparquote sei offenbar in der Sühneverhandlung diskutiert worden. Der Beschwerdegegner habe zwar im Rahmen der Befragung erklärt, es habe eine hohe Sparquote bestanden; doch sei nie ein Betrag genannt und anlässlich der Verhandlung die Sparquote nicht weiter thematisiert worden. Auch wenn im Massnahmeverfahren die Untersuchungsmaxime gelte, treffe die Parteien eine Mitwirkungspflicht, welcher der Beschwerdegegner nicht nachgekommen sei. Im Übrigen würden die Kinder mit der vorgenommenen Überschussverteilung auch nicht privilegiert.</w:t>
      </w:r>
    </w:p>
    <w:p>
      <w:r>
        <w:rPr>
          <w:b/>
        </w:rPr>
        <w:t>E. 3.2</w:t>
      </w:r>
    </w:p>
    <w:p>
      <w:r>
        <w:t>Der Beschwerdegegner bringt im Wesentlichen vor, die Sparquote sei in dem Sinne rechtsgenügend behauptet und belegt worden, als seitens beider Parteien sämtliche Einkommens- und Bedarfspositionen dargelegt worden seien. Erst basierend darauf könne die Sparquote ermittelt werden. Überdies habe bei der "einstufig konkreten Methode" keine Veranlassung bestanden, die Sparquote nachzuweisen. Entgegen der Behauptung der Beschwerdeführerin hätten die kantonalen Instanzen die Methode des betreibungsrechtlichen Existenzminimums mit Überschussverteilung nicht in ihrer reinen Form angewandt. Der erstinstanzliche Richter habe anlässlich der Verhandlung vom 27. Mai 2013 denn auch erkannt, dass bei so guten finanziellen Verhältnissen der Unterhalt nicht nach der besagten Methode bestimmt werden könne. Die gewählte Methode erscheine auch dogmatisch nicht völlig korrekt, zumal bei guten finanziellen Verhältnissen nach der sogenannten einstufig-konkreten Methode vorzugehen sei. Auf diese Weise seien die kantonalen Instanzen verfahren, indem sie nicht auf den existenzrechtlichen Bedarf abgestellt, sondern auch Ferien und Soziales sowie die Kosten für ein Auto ohne Kompetenzcharakter berücksichtigt hätten. Der Bedarf der Beschwerdeführerin sei im Sinne eines gebührenden Unterhalts festgesetzt worden. Der Beschwerdegegner legt sodann aufgrund eigener Berechnungen dar, weshalb der Entscheid seiner Ansicht nach nicht willkürlich ist. BGE 140 III 485 S. 488</w:t>
      </w:r>
    </w:p>
    <w:p>
      <w:r>
        <w:rPr>
          <w:b/>
        </w:rPr>
        <w:t>E. 3.3</w:t>
      </w:r>
    </w:p>
    <w:p>
      <w:r>
        <w:t>Der Unterhalt, um den es hier geht, knüpft an den in der Ehe zuletzt, bis zur Aufhebung des gemeinsamen Haushalts gelebten Standard an, auf dessen Fortführung bei genügenden Mitteln beide Ehegatten Anspruch haben ( BGE 119 II 314 E. 4b/aa S. 318). Man spricht in diesem Zusammenhang auch vom gebührenden Unterhalt. Was sodann die Bemessung des elterlichen Unterhaltsbeitrages betrifft, sind die Grundsätze im Kindesrecht geregelt. Der Unterhaltsbeitrag soll den Bedürfnissen des Kindes sowie der Lebensstellung und Leistungsfähigkeit der Eltern entsprechen ( Art. 285 Abs. 1 ZGB ; BGE 137 III 59 E. 4.2.1 S. 62). Das Gesetz schreibt keine bestimmten Methoden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Aus den soeben dargelegten Grundsätzen folgt, dass der jeweilige Bedarf grundsätzlich konkret, das heisst, anhand der tatsächlich getätigten Ausgaben zu ermitteln ist (vgl. für den nachehelichen Unterhalt im Sinne von Art. 125 ZGB : BGE 134 III 145 E. 4 S. 146 f.). Indessen hat das Bundesgericht präzisiert, dass die Methode der Existenzminimumsberechnung mit (allfälliger) Überschussverteilung (auch zweistufige Methode genannt) jedenfalls dann zulässige Ergebnisse gestatte, wenn die Ehegatten - gegebenenfalls trotz guter finanzieller Verhältnisse - nichts angespart haben oder aber die bisherige Sparquote durch die trennungsbedingten Mehrkosten aufgebraucht wird ( BGE 137 III 102 E. 4.2.1.1 S. 106 f.; BGE 134 III 577 E. 3 S. 578). Der Unterhaltsschuldner, der eine Sparquote behauptet, trägt hiefür die Behauptungs- und Beweislast. Dass der Sachrichter den Sachverhalt von Amtes wegen festzustellen ( Art. 277 Abs. 3 ZPO ) oder gegebenenfalls zu erforschen hat ( Art. 296 ZPO ), enthebt den Unterhaltsschuldner zwar von der subjektiven Beweislast oder Beweisführungslast, ändert aber nichts an seiner Mitwirkungspflicht, aufgrund derer die Sparquote behauptet, beziffert und soweit möglich belegt werden muss (vgl. dazu: BGE 130 I 180 E. 3.2 BGE 140 III 485 S. 489 S. 183 f.; BGE 128 III 411 E. 3.2.1 S. 413; HAUSHEER/SPYCHER, in: Handbuch des Unterhaltsrechts, 2. Aufl. 2010, Rz. 05.173 S. 332). Es handelt sich um einen klaren Rechtsgrundsatz, dessen Missachtung Willkür in der Rechtsanwendung darstellt (zum Begriff vgl. BGE 140 III 16 E. 2.1; BGE 138 I 49 E. 7.1). Damit ist gleichzeitig gesagt, dass es, anders als wovon der Beschwerdegegner auszugehen scheint, weder vom Ermessen des Sachrichters noch von Billigkeitsgesichtspunkten abhängt, ob eine Sparquote zu berücksichtigen ist oder nicht.</w:t>
      </w:r>
    </w:p>
    <w:p>
      <w:r>
        <w:rPr>
          <w:b/>
        </w:rPr>
        <w:t>E. 3.4</w:t>
      </w:r>
    </w:p>
    <w:p>
      <w:r>
        <w:t>Die kantonalen Instanzen haben für die Ermittlung des Bedarfs der beiden Haushalte nicht ausschliesslich auf die Richtlinien für die Berechnung des betreibungsrechtlichen Existenzminimums nach Art. 93 SchKG abgestellt. Vielmehr haben sie angesichts der guten finanziellen Verhältnisse weitere Positionen wie Ausgaben für die Telecom und Mobiliarversicherung sowie für ein Auto ohne Kompetenzcharakter und für eine Garage angerechnet. Sodann wurde im Bedarf der Beschwerdeführerin und der Kinder ein Betrag von Fr. 1'000.- für Ferien und Soziales hinzugezählt. Auf den ersten Blick scheint somit die konkrete Lebenshaltung der beiden Haushalte während des Getrenntlebens ermittelt worden zu sein. Nicht konkret berechnet wurden indes die persönlichen Bedürfnisse der Parteien, zumal die kantonalen Instanzen diesbezüglich den Grundbetrag (Fr. 1'200.- beim Beschwerdegegner und Fr. 1'350.- bei der Beschwerdeführerin als Alleinerziehende) der betreibungsrechtlichen Richtlinien zu Art. 93 SchKG übernommen haben, ohne dass mit Bezug auf diese Position der konkrete, während der Ehe gelebte Standard der Ehegatten ermittelt worden wäre. Daran vermag nichts zu ändern, dass beim Bedarf der Beschwerdeführerin ein relativ hoher Betrag (Fr. 1'000.-) für Ferien und Soziales eingesetzt worden ist. Als Zwischenergebnis gilt somit, dass die Vorinstanzen - entgegen der Auffassung des Beschwerdegegners - nicht bzw. nicht ausschliesslich von der konkreten Lebenshaltung zur Ermittlung des Unterhaltsbedarfs ausgegangen sind.</w:t>
      </w:r>
    </w:p>
    <w:p>
      <w:r>
        <w:rPr>
          <w:b/>
        </w:rPr>
        <w:t>E. 3.5.1</w:t>
      </w:r>
    </w:p>
    <w:p>
      <w:r>
        <w:t>Dem angefochtenen Entscheid kann nicht entnommen werden, warum die kantonalen Instanzen angesichts des überdurchschnittlichen Einkommens des Beschwerdegegners nicht die konkrete Lebenshaltung ermittelt, sondern sich der Methode des um gewisse Positionen erweiterten Existenzminimums mit Überschussverteilung bedient haben. Die Parteien haben indes die Anwendung der Methode nicht als unzulässig bzw. willkürlich angefochten. Mit dieser BGE 140 III 485 S. 490 Feststellung hat es diesbezüglich sein Bewenden, und es erübrigen sich weitere Ausführungen.</w:t>
      </w:r>
    </w:p>
    <w:p>
      <w:r>
        <w:rPr>
          <w:b/>
        </w:rPr>
        <w:t>E. 3.5.2</w:t>
      </w:r>
    </w:p>
    <w:p>
      <w:r>
        <w:t>Wird indes die Lebenshaltung nicht konkret berechnet, sondern auf die vorgenannte Methode zurückgegriffen, erweckt allein schon die Berücksichtigung einer angeblichen Sparquote im Lichte von Art. 9 BV Bedenken: Es vermag angesichts der aufgezeigten Grundsätze nicht einzuleuchten, inwiefern aus einem nicht konkret berechneten Bedarf des Haushalts während des gemeinsamen Zusammenlebens bzw. der beiden Haushalte nach Aufhebung des gemeinsamen ehelichen Haushaltes auf eine konkrete Sparquote geschlossen werden kann. Ein überdurchschnittliches Einkommen kann höchstens ein Indiz sein dafür, dass eine Sparquote verbleiben sollte. Mit Blick auf die Verhältnisse des konkreten Falles ist dies jedoch keinesfalls zwingend (HAUSHEER/SPYCHER, a.a.O., Rz. 02.61c S. 74).</w:t>
      </w:r>
    </w:p>
    <w:p>
      <w:r>
        <w:rPr>
          <w:b/>
        </w:rPr>
        <w:t>E. 3.5.3</w:t>
      </w:r>
    </w:p>
    <w:p>
      <w:r>
        <w:t>Um auf eine Sparquote schliessen zu können, braucht es also mehr als die Höhe des Einkommens des Ehemannes. Nun lässt sich den Akten nicht entnehmen, dass der Beschwerdegegner als Unterhaltsschuldner die vom Obergericht angenommene Sparquote beziffert und belegt hätte. Dass darüber anlässlich der Verhandlung vor dem erstinstanzlichen Richter diskutiert worden, die Sparquote somit entgegen der Behauptung der Beschwerdeführerin thematisiert worden ist, genügt nicht. Das Obergericht hat auf der Grundlage der festgestellten Tatsachen - die Höhe des Einkommens des Beschwerdegegners - eine unhaltbare Schlussfolgerung - nämlich das Vorhandensein einer Sparquote - gezogen, und ist damit bei der Sachverhaltsfeststellung in Willkür verfallen. Damit erweist sich auch der Abzug einer weder dem Grundsatz nach noch betragsmässig glaubhaft gemachten Sparquote von einem anhand der zweistufigen Methode errechneten Überschuss als willkürlich. Nichts Gegenteiliges lässt sich der vom Beschwerdegegner angegebenen Literaturstelle im Handbuch des Unterhaltsrechts ableiten. Im Gegenteil: Auch diese Autoren vertreten die Auffassung, dass eine Sparquote nicht etwa aus einem überdurchschnittlichen Einkommen abgeleitet werden könne; vielmehr erfordere auch die Abgrenzung zwischen der dem nachehelichen Unterhalt zugänglichen bisherigen Sparquote und der unantastbaren Vermögensumteilung letztlich eine "quantitative" Grenzziehung und "einen entsprechenden Nachweis oder zumindest Glaubhaftmachung durch den Unterhaltsverpflichteten" (HAUSHEER/SPYCHER, a.a.O., Rz. 02.61c S. 74). BGE 140 III 485 S. 491 Damit hat das Obergericht den Grundsätzen für die Berechnung des ehelichen Bedarfs nach Aufhebung des gemeinsamen ehelichen Haushalts - soweit hier rechtsgenügend beanstandet - in unhaltbarer Weise nicht Rechnung getragen.</w:t>
      </w:r>
    </w:p>
    <w:p>
      <w:r>
        <w:rPr>
          <w:b/>
        </w:rPr>
        <w:t>E. 4</w:t>
      </w:r>
    </w:p>
    <w:p>
      <w:r>
        <w:t>(...)</w:t>
      </w:r>
    </w:p>
    <w:p>
      <w:r>
        <w:rPr>
          <w:b/>
        </w:rPr>
        <w:t>E. 4.5</w:t>
      </w:r>
    </w:p>
    <w:p>
      <w:r>
        <w:t>Ausgehend vom berechneten Überschuss von Fr. 2'593.- (15'242.- ./. 5'339.- ./. Fr. 7'310.-) beträgt der Anteil der Beschwerdeführerin und der Kinder somit rund Fr. 1'730.- (rund 2/3; vgl. BGE 126 III 8 ) und verbleiben dem Beschwerdegegner rund Fr. 863.-. Damit ergibt sich für die Beschwerdeführerin (inkl. Kinder) ein Gesamtunterhalt von Fr. 9'040.- (Fr. 7'310.- + Fr. 1'730.-). Nach Abzug des Unterhaltsbedarfs der drei Töchter von Fr. 5'250.- (je Fr. 1'750.-) verbleibt ein Bedarf der Beschwerdeführerin von Fr. 3'790.- (Fr. 9'040.- ./. Fr. 5'250.-). Im Verhältnis zum vorinstanzlich zugesprochenen Unterhaltsbeitrag von Fr. 2'575.- besteht eine Differenz von Fr. 1'215.-. Mit anderen Worten macht der vom Obergericht zugesprochene Unterhaltsbeitrag knapp zwei Drittel dessen aus, worauf die Beschwerdeführerin Anspruch hat. Die Kürzung um knapp ein Drittel ist unter allen Titeln offensichtlich unhaltbar. Damit erweist sich das angefochtene Urteil auch im Ergebnis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